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97" w:rsidRDefault="00801AC3" w:rsidP="00FE7297">
      <w:pPr>
        <w:spacing w:after="0" w:line="240" w:lineRule="auto"/>
        <w:rPr>
          <w:rFonts w:ascii="Arial" w:hAnsi="Arial" w:cs="Arial"/>
          <w:color w:val="FFC000"/>
          <w:highlight w:val="darkYellow"/>
        </w:rPr>
      </w:pPr>
      <w:r w:rsidRPr="00FE7297">
        <w:rPr>
          <w:rFonts w:ascii="Arial" w:hAnsi="Arial" w:cs="Arial"/>
          <w:color w:val="FFC000"/>
          <w:highlight w:val="darkYellow"/>
        </w:rPr>
        <w:t>Ils se saisirent de Jésus.</w:t>
      </w:r>
      <w:r w:rsidR="00FE7297">
        <w:rPr>
          <w:rFonts w:ascii="Arial" w:hAnsi="Arial" w:cs="Arial"/>
          <w:color w:val="FFC000"/>
          <w:highlight w:val="darkYellow"/>
        </w:rPr>
        <w:t xml:space="preserve"> </w:t>
      </w:r>
      <w:r w:rsidRPr="00FE7297">
        <w:rPr>
          <w:rFonts w:ascii="Arial" w:hAnsi="Arial" w:cs="Arial"/>
          <w:color w:val="FFC000"/>
          <w:highlight w:val="darkYellow"/>
        </w:rPr>
        <w:t xml:space="preserve">Et lui-même, portant sa croix, sortit en direction du </w:t>
      </w:r>
      <w:proofErr w:type="spellStart"/>
      <w:r w:rsidRPr="00FE7297">
        <w:rPr>
          <w:rFonts w:ascii="Arial" w:hAnsi="Arial" w:cs="Arial"/>
          <w:color w:val="FFC000"/>
          <w:highlight w:val="darkYellow"/>
        </w:rPr>
        <w:t>lieu dit</w:t>
      </w:r>
      <w:proofErr w:type="spellEnd"/>
      <w:r w:rsidRPr="00FE7297">
        <w:rPr>
          <w:rFonts w:ascii="Arial" w:hAnsi="Arial" w:cs="Arial"/>
          <w:color w:val="FFC000"/>
          <w:highlight w:val="darkYellow"/>
        </w:rPr>
        <w:t xml:space="preserve"> Le Crâne (ou Calvaire), qui se dit en hébreu Golgotha.</w:t>
      </w:r>
      <w:r w:rsidR="00FE7297">
        <w:rPr>
          <w:rFonts w:ascii="Arial" w:hAnsi="Arial" w:cs="Arial"/>
          <w:color w:val="FFC000"/>
          <w:highlight w:val="darkYellow"/>
        </w:rPr>
        <w:t xml:space="preserve"> </w:t>
      </w:r>
      <w:r w:rsidRPr="00FE7297">
        <w:rPr>
          <w:rFonts w:ascii="Arial" w:hAnsi="Arial" w:cs="Arial"/>
          <w:color w:val="FFC000"/>
          <w:highlight w:val="darkYellow"/>
        </w:rPr>
        <w:t>C’est là qu’ils le crucifièrent, et deux autres avec lui, un de chaque côté, et Jésus au milieu.</w:t>
      </w:r>
      <w:r w:rsidR="00FE7297">
        <w:rPr>
          <w:rFonts w:ascii="Arial" w:hAnsi="Arial" w:cs="Arial"/>
          <w:color w:val="FFC000"/>
          <w:highlight w:val="darkYellow"/>
        </w:rPr>
        <w:t xml:space="preserve"> </w:t>
      </w:r>
    </w:p>
    <w:p w:rsidR="00801AC3" w:rsidRPr="00801AC3" w:rsidRDefault="00801AC3" w:rsidP="00FE7297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FE7297">
        <w:rPr>
          <w:rFonts w:ascii="Arial" w:hAnsi="Arial" w:cs="Arial"/>
          <w:color w:val="FFC000"/>
          <w:highlight w:val="darkYellow"/>
        </w:rPr>
        <w:t xml:space="preserve">Or, près de la croix de Jésus se tenaient sa mère et la sœur de sa mère, Marie, femme de </w:t>
      </w:r>
      <w:proofErr w:type="spellStart"/>
      <w:r w:rsidRPr="00FE7297">
        <w:rPr>
          <w:rFonts w:ascii="Arial" w:hAnsi="Arial" w:cs="Arial"/>
          <w:color w:val="FFC000"/>
          <w:highlight w:val="darkYellow"/>
        </w:rPr>
        <w:t>Cléophas</w:t>
      </w:r>
      <w:proofErr w:type="spellEnd"/>
      <w:r w:rsidRPr="00FE7297">
        <w:rPr>
          <w:rFonts w:ascii="Arial" w:hAnsi="Arial" w:cs="Arial"/>
          <w:color w:val="FFC000"/>
          <w:highlight w:val="darkYellow"/>
        </w:rPr>
        <w:t>, et Marie Madeleine.</w:t>
      </w:r>
      <w:r w:rsidR="00FE7297">
        <w:rPr>
          <w:rFonts w:ascii="Arial" w:hAnsi="Arial" w:cs="Arial"/>
          <w:color w:val="FFC000"/>
          <w:highlight w:val="darkYellow"/>
        </w:rPr>
        <w:t xml:space="preserve"> </w:t>
      </w:r>
      <w:r w:rsidRPr="00FE7297">
        <w:rPr>
          <w:rFonts w:ascii="Arial" w:hAnsi="Arial" w:cs="Arial"/>
          <w:color w:val="FFC000"/>
          <w:highlight w:val="darkYellow"/>
        </w:rPr>
        <w:t>Jésus, voyant sa mère, et près d’elle le disciple qu’il aimait, dit à sa mère : « Femme, voici ton fils. »</w:t>
      </w:r>
      <w:r w:rsidR="00FE7297">
        <w:rPr>
          <w:rFonts w:ascii="Arial" w:hAnsi="Arial" w:cs="Arial"/>
          <w:color w:val="FFC000"/>
          <w:highlight w:val="darkYellow"/>
        </w:rPr>
        <w:t xml:space="preserve"> </w:t>
      </w:r>
      <w:r w:rsidRPr="00FE7297">
        <w:rPr>
          <w:rFonts w:ascii="Arial" w:hAnsi="Arial" w:cs="Arial"/>
          <w:color w:val="FFC000"/>
          <w:highlight w:val="darkYellow"/>
        </w:rPr>
        <w:t>Puis il dit au disciple : « Voici ta mère. » Et à partir de cette heure-là, le disciple la prit chez lui.</w:t>
      </w:r>
      <w:r w:rsidRPr="00801AC3">
        <w:rPr>
          <w:rFonts w:ascii="Arial" w:hAnsi="Arial" w:cs="Arial"/>
          <w:color w:val="FFC000"/>
          <w:highlight w:val="darkYellow"/>
        </w:rPr>
        <w:br/>
      </w:r>
      <w:r w:rsidRPr="00FE7297">
        <w:rPr>
          <w:rFonts w:ascii="Arial" w:hAnsi="Arial" w:cs="Arial"/>
          <w:color w:val="FFC000"/>
          <w:highlight w:val="darkYellow"/>
        </w:rPr>
        <w:t>Après cela, sachant que tout, désormais, était achevé pour que l’Écriture s’accomplisse jusqu’au bout, Jésus dit : « J’ai soif. »</w:t>
      </w:r>
      <w:r w:rsidRPr="00801AC3">
        <w:rPr>
          <w:rFonts w:ascii="Arial" w:hAnsi="Arial" w:cs="Arial"/>
          <w:color w:val="FFC000"/>
          <w:highlight w:val="darkYellow"/>
        </w:rPr>
        <w:br/>
      </w:r>
      <w:r w:rsidRPr="00FE7297">
        <w:rPr>
          <w:rFonts w:ascii="Arial" w:hAnsi="Arial" w:cs="Arial"/>
          <w:color w:val="FFC000"/>
          <w:highlight w:val="darkYellow"/>
        </w:rPr>
        <w:t>Il y avait là un récipient plein d’une boisson vinaigrée. On fixa donc une éponge remplie de ce vinaigre à une branche d’hysope, et on l’approcha de sa bouche.</w:t>
      </w:r>
      <w:r w:rsidRPr="00801AC3">
        <w:rPr>
          <w:rFonts w:ascii="Arial" w:hAnsi="Arial" w:cs="Arial"/>
          <w:color w:val="FFC000"/>
          <w:highlight w:val="darkYellow"/>
        </w:rPr>
        <w:br/>
      </w:r>
      <w:r w:rsidR="00D01D6E">
        <w:rPr>
          <w:rFonts w:ascii="Arial" w:hAnsi="Arial" w:cs="Arial"/>
          <w:color w:val="FFC000"/>
          <w:highlight w:val="darkYellow"/>
        </w:rPr>
        <w:t xml:space="preserve"> </w:t>
      </w:r>
      <w:r w:rsidRPr="00FE7297">
        <w:rPr>
          <w:rFonts w:ascii="Arial" w:hAnsi="Arial" w:cs="Arial"/>
          <w:color w:val="FFC000"/>
          <w:highlight w:val="darkYellow"/>
        </w:rPr>
        <w:t>Quand il eut pris le vinaigre, Jésus dit : « Tout est accompli. » Puis, inclinant la tête, il remit l’esprit..</w:t>
      </w:r>
      <w:r w:rsidRPr="00801AC3">
        <w:rPr>
          <w:rFonts w:ascii="Arial" w:hAnsi="Arial" w:cs="Arial"/>
          <w:color w:val="FFC000"/>
          <w:highlight w:val="darkYellow"/>
        </w:rPr>
        <w:br/>
      </w:r>
      <w:r w:rsidRPr="00FE7297">
        <w:rPr>
          <w:rFonts w:ascii="Arial" w:hAnsi="Arial" w:cs="Arial"/>
          <w:color w:val="FFC000"/>
          <w:highlight w:val="darkYellow"/>
        </w:rPr>
        <w:t>Celui qui a vu rend témoignage, et son témoignage est véridique ; et celui-là sait qu’il dit vrai afin que vous aussi, vous croyiez.</w:t>
      </w:r>
      <w:r w:rsidRPr="00801AC3">
        <w:rPr>
          <w:rFonts w:ascii="Arial" w:hAnsi="Arial" w:cs="Arial"/>
          <w:color w:val="FFC000"/>
          <w:highlight w:val="darkYellow"/>
        </w:rPr>
        <w:br/>
      </w:r>
      <w:r w:rsidRPr="00801AC3">
        <w:rPr>
          <w:rFonts w:ascii="Arial" w:hAnsi="Arial" w:cs="Arial"/>
          <w:i/>
          <w:color w:val="000000"/>
          <w:sz w:val="18"/>
          <w:szCs w:val="18"/>
        </w:rPr>
        <w:t>saint Jean</w:t>
      </w:r>
      <w:r>
        <w:rPr>
          <w:rFonts w:ascii="Arial" w:eastAsia="Times New Roman" w:hAnsi="Arial" w:cs="Arial"/>
          <w:b/>
          <w:bCs/>
          <w:color w:val="FFC000"/>
          <w:lang w:eastAsia="fr-FR"/>
        </w:rPr>
        <w:t xml:space="preserve"> </w:t>
      </w:r>
      <w:r w:rsidRPr="00801AC3">
        <w:rPr>
          <w:rFonts w:ascii="Arial" w:hAnsi="Arial" w:cs="Arial"/>
          <w:i/>
          <w:color w:val="000000"/>
          <w:sz w:val="18"/>
          <w:szCs w:val="18"/>
        </w:rPr>
        <w:t>1</w:t>
      </w:r>
      <w:r w:rsidR="00FE7297">
        <w:rPr>
          <w:rFonts w:ascii="Arial" w:hAnsi="Arial" w:cs="Arial"/>
          <w:i/>
          <w:color w:val="000000"/>
          <w:sz w:val="18"/>
          <w:szCs w:val="18"/>
        </w:rPr>
        <w:t>9</w:t>
      </w:r>
      <w:r w:rsidRPr="00801AC3">
        <w:rPr>
          <w:rFonts w:ascii="Arial" w:hAnsi="Arial" w:cs="Arial"/>
          <w:i/>
          <w:color w:val="000000"/>
          <w:sz w:val="18"/>
          <w:szCs w:val="18"/>
        </w:rPr>
        <w:t>,1</w:t>
      </w:r>
      <w:r w:rsidR="00FE7297">
        <w:rPr>
          <w:rFonts w:ascii="Arial" w:hAnsi="Arial" w:cs="Arial"/>
          <w:i/>
          <w:color w:val="000000"/>
          <w:sz w:val="18"/>
          <w:szCs w:val="18"/>
        </w:rPr>
        <w:t>6, 25</w:t>
      </w:r>
      <w:r w:rsidRPr="00801AC3">
        <w:rPr>
          <w:rFonts w:ascii="Arial" w:hAnsi="Arial" w:cs="Arial"/>
          <w:i/>
          <w:color w:val="000000"/>
          <w:sz w:val="18"/>
          <w:szCs w:val="18"/>
        </w:rPr>
        <w:t>-</w:t>
      </w:r>
      <w:r w:rsidR="00FE7297">
        <w:rPr>
          <w:rFonts w:ascii="Arial" w:hAnsi="Arial" w:cs="Arial"/>
          <w:i/>
          <w:color w:val="000000"/>
          <w:sz w:val="18"/>
          <w:szCs w:val="18"/>
        </w:rPr>
        <w:t>27</w:t>
      </w:r>
      <w:r w:rsidR="00D01D6E">
        <w:rPr>
          <w:rFonts w:ascii="Arial" w:hAnsi="Arial" w:cs="Arial"/>
          <w:i/>
          <w:color w:val="000000"/>
          <w:sz w:val="18"/>
          <w:szCs w:val="18"/>
        </w:rPr>
        <w:t xml:space="preserve">, 35-36 </w:t>
      </w:r>
      <w:r w:rsidRPr="00801AC3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801AC3" w:rsidRDefault="00014765" w:rsidP="00CF174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95525" cy="3571875"/>
            <wp:effectExtent l="0" t="0" r="9525" b="9525"/>
            <wp:docPr id="3" name="Image 3" descr="https://imgc.allpostersimages.com/img/posters/roger-van-der-weyden-crucifixion-ca-1510-flemish-school_u-L-PIOSYR0.jpg?src=gp&amp;w=300&amp;h=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c.allpostersimages.com/img/posters/roger-van-der-weyden-crucifixion-ca-1510-flemish-school_u-L-PIOSYR0.jpg?src=gp&amp;w=300&amp;h=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41" w:rsidRDefault="00CF1741" w:rsidP="00CF1741">
      <w:pPr>
        <w:spacing w:after="0" w:line="240" w:lineRule="auto"/>
        <w:ind w:left="2124" w:firstLine="708"/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</w:pPr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Roger Van der </w:t>
      </w:r>
      <w:proofErr w:type="spellStart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Weyden</w:t>
      </w:r>
      <w:proofErr w:type="spellEnd"/>
      <w:r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, </w:t>
      </w:r>
      <w:proofErr w:type="spellStart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Deposizione</w:t>
      </w:r>
      <w:proofErr w:type="spellEnd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, 1453, </w:t>
      </w:r>
      <w:proofErr w:type="spellStart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Museo</w:t>
      </w:r>
      <w:proofErr w:type="spellEnd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</w:t>
      </w:r>
      <w:proofErr w:type="spellStart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del</w:t>
      </w:r>
      <w:proofErr w:type="spellEnd"/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Prado, Madrid</w:t>
      </w:r>
    </w:p>
    <w:p w:rsidR="00CF1741" w:rsidRDefault="00CF1741" w:rsidP="00CF1741">
      <w:pPr>
        <w:spacing w:after="0" w:line="240" w:lineRule="auto"/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</w:pPr>
    </w:p>
    <w:p w:rsidR="00CF1741" w:rsidRPr="00CF1741" w:rsidRDefault="00CF1741" w:rsidP="00CF1741">
      <w:pPr>
        <w:spacing w:after="0" w:line="240" w:lineRule="auto"/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</w:pPr>
    </w:p>
    <w:p w:rsidR="006341D2" w:rsidRDefault="006341D2">
      <w:r>
        <w:t xml:space="preserve">Il arrive que certains </w:t>
      </w:r>
      <w:r w:rsidR="004E713F">
        <w:t>imagin</w:t>
      </w:r>
      <w:r>
        <w:t>ent Marie évanouie au pied de</w:t>
      </w:r>
      <w:r w:rsidR="004E713F">
        <w:t xml:space="preserve"> </w:t>
      </w:r>
      <w:r w:rsidR="00CF1741">
        <w:t>la Croix. A la lecture d</w:t>
      </w:r>
      <w:r>
        <w:t>es évangiles</w:t>
      </w:r>
      <w:r w:rsidR="00CF1741">
        <w:t>,</w:t>
      </w:r>
      <w:r w:rsidR="004E713F">
        <w:t xml:space="preserve"> </w:t>
      </w:r>
      <w:r>
        <w:t>cette hypothèse</w:t>
      </w:r>
      <w:r w:rsidR="00CF1741">
        <w:t xml:space="preserve"> est </w:t>
      </w:r>
      <w:r>
        <w:t xml:space="preserve">invraisemblable. </w:t>
      </w:r>
    </w:p>
    <w:p w:rsidR="006341D2" w:rsidRDefault="00801AC3">
      <w:r>
        <w:t xml:space="preserve">« Une épée te transpercera l’âme » avait dit le vieillard </w:t>
      </w:r>
      <w:proofErr w:type="spellStart"/>
      <w:r>
        <w:t>Syméon</w:t>
      </w:r>
      <w:proofErr w:type="spellEnd"/>
      <w:r>
        <w:t xml:space="preserve"> </w:t>
      </w:r>
      <w:r w:rsidR="00B3564A">
        <w:t xml:space="preserve"> (Luc 2,35) à Marie alors qu’elle présentait son enfant </w:t>
      </w:r>
      <w:r w:rsidR="006341D2">
        <w:t xml:space="preserve">de quelques semaines </w:t>
      </w:r>
      <w:r w:rsidR="00B3564A">
        <w:t>au temple</w:t>
      </w:r>
      <w:r w:rsidR="004E713F">
        <w:rPr>
          <w:rStyle w:val="Appelnotedebasdep"/>
        </w:rPr>
        <w:footnoteReference w:id="1"/>
      </w:r>
      <w:r w:rsidR="006341D2">
        <w:t xml:space="preserve">. Marie n’est pas arrivée au </w:t>
      </w:r>
      <w:r w:rsidR="006341D2">
        <w:lastRenderedPageBreak/>
        <w:t>pied de la croix par hasard. Elle y est parce qu’</w:t>
      </w:r>
      <w:r w:rsidR="00803E96">
        <w:t>elle suit Jésus.</w:t>
      </w:r>
      <w:r w:rsidR="006341D2">
        <w:t xml:space="preserve"> </w:t>
      </w:r>
      <w:r w:rsidR="00803E96">
        <w:t>E</w:t>
      </w:r>
      <w:r w:rsidR="006341D2">
        <w:t xml:space="preserve">lle n’est pas seulement sa mère, elle est son disciple, même quand, très tôt, on lui annonce qu’il lui en coûtera. </w:t>
      </w:r>
    </w:p>
    <w:p w:rsidR="006341D2" w:rsidRDefault="006341D2">
      <w:r>
        <w:t>« Le troisième jour, il y eut des noces à Cana de Galilée,</w:t>
      </w:r>
      <w:r w:rsidR="00BF76A5">
        <w:t xml:space="preserve"> et la mère de Jésus y était. »</w:t>
      </w:r>
      <w:r>
        <w:t xml:space="preserve"> </w:t>
      </w:r>
      <w:r w:rsidR="00BF76A5">
        <w:t>(</w:t>
      </w:r>
      <w:r>
        <w:t>Jean 2,1</w:t>
      </w:r>
      <w:r w:rsidR="00BF76A5">
        <w:t>)</w:t>
      </w:r>
      <w:r>
        <w:t xml:space="preserve"> : Marie </w:t>
      </w:r>
      <w:r w:rsidR="003C3F85">
        <w:t xml:space="preserve">« y était », elle </w:t>
      </w:r>
      <w:r w:rsidR="00FE6962">
        <w:t xml:space="preserve">est présente et pour </w:t>
      </w:r>
      <w:r w:rsidR="007260C1">
        <w:t xml:space="preserve">ces noces, </w:t>
      </w:r>
      <w:r>
        <w:t xml:space="preserve">« commencement des signes » (Jean 2,11) et </w:t>
      </w:r>
      <w:r w:rsidR="007260C1">
        <w:t>au pied de la croix,</w:t>
      </w:r>
      <w:r>
        <w:t xml:space="preserve"> dernier signe donné par Jésus. Ce signe de Cana, c’</w:t>
      </w:r>
      <w:r w:rsidR="007260C1">
        <w:t>est celui d</w:t>
      </w:r>
      <w:r>
        <w:t>’</w:t>
      </w:r>
      <w:r w:rsidR="007260C1">
        <w:t>une a</w:t>
      </w:r>
      <w:r>
        <w:t>lliance</w:t>
      </w:r>
      <w:r w:rsidR="007260C1">
        <w:t xml:space="preserve">, puisqu’il s’agit d’un mariage, mais d’une Alliance </w:t>
      </w:r>
      <w:r>
        <w:t xml:space="preserve">nouvelle entre Dieu et les hommes que Marie incarne parfaitement </w:t>
      </w:r>
      <w:r w:rsidR="007260C1">
        <w:t xml:space="preserve">en </w:t>
      </w:r>
      <w:r>
        <w:t>met</w:t>
      </w:r>
      <w:r w:rsidR="007260C1">
        <w:t>tant</w:t>
      </w:r>
      <w:r>
        <w:t xml:space="preserve"> au monde le Seigneur tout puissant</w:t>
      </w:r>
      <w:r w:rsidR="007260C1">
        <w:t>.</w:t>
      </w:r>
      <w:r>
        <w:t xml:space="preserve"> </w:t>
      </w:r>
      <w:r w:rsidR="007260C1">
        <w:t>P</w:t>
      </w:r>
      <w:r>
        <w:t>ar elle</w:t>
      </w:r>
      <w:r w:rsidR="007260C1">
        <w:t>,</w:t>
      </w:r>
      <w:r>
        <w:t xml:space="preserve"> le ciel et la terre s’allie</w:t>
      </w:r>
      <w:r w:rsidR="007260C1">
        <w:t>nt</w:t>
      </w:r>
      <w:r>
        <w:t xml:space="preserve"> en Jésus. </w:t>
      </w:r>
      <w:r w:rsidR="00FE6962">
        <w:t xml:space="preserve">Comment Marie s’évanouirait-elle </w:t>
      </w:r>
      <w:r w:rsidR="003C3F85">
        <w:t xml:space="preserve">alors qu’elle a accepté l’alliance en disant oui à l’ange Gabriel et </w:t>
      </w:r>
      <w:r w:rsidR="007260C1">
        <w:t xml:space="preserve">que </w:t>
      </w:r>
      <w:r w:rsidR="00FE6962">
        <w:t xml:space="preserve">Jésus </w:t>
      </w:r>
      <w:r w:rsidR="003C3F85">
        <w:t>continue à lui confier cette alliance en la désignant comme Mère du disciple, c’est-à-dire mère de l’Eglise</w:t>
      </w:r>
      <w:r w:rsidR="00FE6962">
        <w:t xml:space="preserve"> ? </w:t>
      </w:r>
    </w:p>
    <w:p w:rsidR="00FE6962" w:rsidRDefault="00FE6962">
      <w:r>
        <w:t xml:space="preserve">« Que </w:t>
      </w:r>
      <w:proofErr w:type="spellStart"/>
      <w:r>
        <w:t>me</w:t>
      </w:r>
      <w:proofErr w:type="spellEnd"/>
      <w:r>
        <w:t xml:space="preserve"> veux-tu femme ? Mon heure n’est pas encore venue » Jean 2,5. </w:t>
      </w:r>
      <w:r w:rsidR="007260C1">
        <w:t xml:space="preserve">Toujours à Cana, Jésus parle à Marie non comme à une mère mais comme à la femme, à toutes les femmes, à la nouvelle Eve et il lui révèle, dès le début de son ministère, que son heure va venir ! </w:t>
      </w:r>
      <w:r w:rsidR="003C3F85">
        <w:t xml:space="preserve">Quelle est cette heure ? </w:t>
      </w:r>
      <w:r w:rsidR="005D777C">
        <w:t>L</w:t>
      </w:r>
      <w:r w:rsidR="003C3F85">
        <w:t xml:space="preserve">’évangéliste Jean cite </w:t>
      </w:r>
      <w:proofErr w:type="gramStart"/>
      <w:r w:rsidR="003C3F85">
        <w:t>Jésus  qui</w:t>
      </w:r>
      <w:proofErr w:type="gramEnd"/>
      <w:r w:rsidR="003C3F85">
        <w:t xml:space="preserve"> déclare juste avant son arrestation : « Père, l’heure est venue » (Jean 171) . C’est l’heure de la croix. </w:t>
      </w:r>
      <w:r w:rsidR="005D777C">
        <w:t>Or Marie ne l’a-t-elle pas mis au monde pour « cette heure » où il sauverait le monde puisque c’est le nom qu’elle lui a donné</w:t>
      </w:r>
      <w:r w:rsidR="005D777C">
        <w:rPr>
          <w:rStyle w:val="Appelnotedebasdep"/>
        </w:rPr>
        <w:footnoteReference w:id="2"/>
      </w:r>
      <w:r w:rsidR="005D777C">
        <w:t xml:space="preserve">? </w:t>
      </w:r>
    </w:p>
    <w:p w:rsidR="001E5662" w:rsidRPr="001E5662" w:rsidRDefault="005D777C">
      <w:r w:rsidRPr="001E5662">
        <w:t>« Une grande masse du peuple suivait Jésus » chargé de la croix, « ainsi que des femmes qui se frappaient la poitrine et se lamentaient sur lui » (Luc 23</w:t>
      </w:r>
      <w:r w:rsidR="001E5662" w:rsidRPr="001E5662">
        <w:t>, 27-28).</w:t>
      </w:r>
      <w:r w:rsidR="001E5662">
        <w:rPr>
          <w:rFonts w:ascii="Helvetica" w:hAnsi="Helvetica"/>
          <w:color w:val="333333"/>
          <w:sz w:val="27"/>
          <w:szCs w:val="27"/>
        </w:rPr>
        <w:t xml:space="preserve"> </w:t>
      </w:r>
      <w:r w:rsidR="001E5662" w:rsidRPr="001E5662">
        <w:t>Est-ce notre conception</w:t>
      </w:r>
      <w:r w:rsidR="001E5662">
        <w:t xml:space="preserve"> contemporaine de la sensibilité féminine qui nous fait supposer toutes les femmes en pamoison devant un drame ? Alors que les femmes de Jérusalem souffrent mais sont bien là, pourquoi Marie </w:t>
      </w:r>
      <w:r w:rsidR="0004065E">
        <w:t xml:space="preserve">serait-elle autrement que debout, comme le dit parfaitement la très ancienne prière du « Stabat mater » : elle se tenait </w:t>
      </w:r>
      <w:proofErr w:type="gramStart"/>
      <w:r w:rsidR="0004065E">
        <w:t>debout ,</w:t>
      </w:r>
      <w:proofErr w:type="gramEnd"/>
      <w:r w:rsidR="0004065E">
        <w:t xml:space="preserve"> « juxta </w:t>
      </w:r>
      <w:proofErr w:type="spellStart"/>
      <w:r w:rsidR="0004065E">
        <w:t>crucem</w:t>
      </w:r>
      <w:proofErr w:type="spellEnd"/>
      <w:r w:rsidR="0004065E">
        <w:t> », au pied de la Croix, bien que « </w:t>
      </w:r>
      <w:proofErr w:type="spellStart"/>
      <w:r w:rsidR="0004065E">
        <w:t>dolorosam</w:t>
      </w:r>
      <w:proofErr w:type="spellEnd"/>
      <w:r w:rsidR="0004065E">
        <w:t xml:space="preserve"> ». </w:t>
      </w:r>
    </w:p>
    <w:p w:rsidR="00014765" w:rsidRDefault="00014765" w:rsidP="008C0E64">
      <w:pPr>
        <w:jc w:val="center"/>
        <w:rPr>
          <w:rFonts w:ascii="Helvetica" w:hAnsi="Helvetica"/>
          <w:b/>
          <w:bCs/>
          <w:color w:val="474B4E"/>
          <w:sz w:val="17"/>
          <w:szCs w:val="17"/>
        </w:rPr>
      </w:pPr>
      <w:r>
        <w:rPr>
          <w:rFonts w:ascii="Helvetica" w:hAnsi="Helvetica"/>
          <w:b/>
          <w:bCs/>
          <w:noProof/>
          <w:color w:val="FD0570"/>
          <w:sz w:val="20"/>
          <w:szCs w:val="20"/>
          <w:lang w:eastAsia="fr-FR"/>
        </w:rPr>
        <w:lastRenderedPageBreak/>
        <w:drawing>
          <wp:inline distT="0" distB="0" distL="0" distR="0">
            <wp:extent cx="2562225" cy="3713370"/>
            <wp:effectExtent l="0" t="0" r="0" b="1905"/>
            <wp:docPr id="2" name="Image 2" descr="https://2.bp.blogspot.com/-KfPUcQz6kfI/Tbg32aTuLZI/AAAAAAAAIR8/VqGwv0mYeiw/s400/delacroix-crucifixion-vannes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0287544549715346" descr="https://2.bp.blogspot.com/-KfPUcQz6kfI/Tbg32aTuLZI/AAAAAAAAIR8/VqGwv0mYeiw/s400/delacroix-crucifixion-vannes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56" cy="37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62" w:rsidRPr="00CF1741" w:rsidRDefault="00014765">
      <w:pPr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</w:pPr>
      <w:r w:rsidRP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Eugène Delacroix (1798-1863) : Le Christ sur la Croix (1835). </w:t>
      </w:r>
      <w:r w:rsidR="00CF1741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Musée de la Cohue, Vannes</w:t>
      </w:r>
    </w:p>
    <w:p w:rsidR="00014765" w:rsidRDefault="00014765" w:rsidP="00014765">
      <w:r w:rsidRPr="00014765">
        <w:t>Marie au pied de la Croix, c’est l’Eglise accueillant en Jean les disciples de Jésus. Elle nous aime du même amour fondamental qu’elle porte à Jésus. Elle sait que Jésus nous aime et meurt pour nous. Elle participe à l’Amour que le Christ porte à tous les hommes. Elle aime dans son Fils unique, tous les baptisés, comme des frères du Christ et des fils de Dieu </w:t>
      </w:r>
      <w:r>
        <w:t xml:space="preserve">et les soutient </w:t>
      </w:r>
      <w:r w:rsidRPr="00014765">
        <w:t>: Marie nous offre à tous l’accueil maternel qu’elle donne à Jean</w:t>
      </w:r>
      <w:r>
        <w:t xml:space="preserve"> comme on peut le contempler dans le tableau de Delacroix</w:t>
      </w:r>
      <w:r w:rsidRPr="00014765">
        <w:t>. Et Jean la reçoit chez lui, d’un cœur filial : il nous est un exemple pour accueillir Marie chez nous</w:t>
      </w:r>
      <w:r>
        <w:t>, la prier pour avoir cette même fermeté dans nos propres croix</w:t>
      </w:r>
      <w:r w:rsidRPr="00014765">
        <w:t xml:space="preserve">. </w:t>
      </w:r>
    </w:p>
    <w:p w:rsidR="002C2826" w:rsidRDefault="002C2826" w:rsidP="00014765"/>
    <w:p w:rsidR="002C2826" w:rsidRPr="001E5662" w:rsidRDefault="002C2826" w:rsidP="00014765">
      <w:r>
        <w:rPr>
          <w:noProof/>
          <w:lang w:eastAsia="fr-FR"/>
        </w:rPr>
        <w:lastRenderedPageBreak/>
        <w:drawing>
          <wp:inline distT="0" distB="0" distL="0" distR="0">
            <wp:extent cx="2857500" cy="1524000"/>
            <wp:effectExtent l="0" t="0" r="0" b="0"/>
            <wp:docPr id="4" name="Image 4" descr="Résultat d’images pour annonciation pei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annonciation pein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14765">
        <w:rPr>
          <w:rFonts w:ascii="&amp;quot" w:eastAsia="Times New Roman" w:hAnsi="&amp;quot" w:cs="Times New Roman"/>
          <w:b/>
          <w:bCs/>
          <w:noProof/>
          <w:color w:val="FF9900"/>
          <w:sz w:val="18"/>
          <w:szCs w:val="18"/>
          <w:lang w:eastAsia="fr-FR"/>
        </w:rPr>
        <w:drawing>
          <wp:inline distT="0" distB="0" distL="0" distR="0" wp14:anchorId="3FB7F4BB" wp14:editId="0F3486A0">
            <wp:extent cx="1900518" cy="3028950"/>
            <wp:effectExtent l="0" t="0" r="5080" b="0"/>
            <wp:docPr id="1" name="Image 1" descr=" Van Der Weyden, Le Christ apparaît à la Vierge, Metropolitan Museum, N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Van Der Weyden, Le Christ apparaît à la Vierge, Metropolitan Museum, N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00" cy="30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65" w:rsidRPr="00014765" w:rsidRDefault="002C2826" w:rsidP="002C2826">
      <w:pPr>
        <w:spacing w:after="0" w:line="240" w:lineRule="auto"/>
        <w:ind w:left="4950" w:hanging="4950"/>
        <w:rPr>
          <w:rFonts w:ascii="&amp;quot" w:eastAsia="Times New Roman" w:hAnsi="&amp;quot" w:cs="Times New Roman"/>
          <w:color w:val="AAAAAA"/>
          <w:sz w:val="17"/>
          <w:szCs w:val="17"/>
          <w:lang w:eastAsia="fr-FR"/>
        </w:rPr>
      </w:pPr>
      <w:r w:rsidRPr="002C2826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Ra</w:t>
      </w:r>
      <w:r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p</w:t>
      </w:r>
      <w:r w:rsidRPr="002C2826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haël, prédelle du Retable </w:t>
      </w:r>
      <w:proofErr w:type="spellStart"/>
      <w:r w:rsidRPr="002C2826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Oddi</w:t>
      </w:r>
      <w:proofErr w:type="spellEnd"/>
      <w:r w:rsidRPr="002C2826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</w:t>
      </w:r>
      <w:hyperlink r:id="rId13" w:tooltip="Musées du Vatican" w:history="1">
        <w:r w:rsidRPr="002C2826">
          <w:rPr>
            <w:rFonts w:ascii="&amp;quot" w:eastAsia="Times New Roman" w:hAnsi="&amp;quot" w:cs="Times New Roman"/>
            <w:b/>
            <w:bCs/>
            <w:color w:val="AAAAAA"/>
            <w:sz w:val="17"/>
            <w:szCs w:val="17"/>
            <w:lang w:eastAsia="fr-FR"/>
          </w:rPr>
          <w:t>Musées du Vatican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ab/>
        <w:t xml:space="preserve">Roger Van </w:t>
      </w:r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Der </w:t>
      </w:r>
      <w:proofErr w:type="spellStart"/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Weyden</w:t>
      </w:r>
      <w:proofErr w:type="spellEnd"/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. Le Christ apparaît à la Vierge. </w:t>
      </w:r>
      <w:proofErr w:type="spellStart"/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>Metropolitan</w:t>
      </w:r>
      <w:proofErr w:type="spellEnd"/>
      <w:r w:rsidR="00014765" w:rsidRPr="00014765">
        <w:rPr>
          <w:rFonts w:ascii="&amp;quot" w:eastAsia="Times New Roman" w:hAnsi="&amp;quot" w:cs="Times New Roman"/>
          <w:b/>
          <w:bCs/>
          <w:color w:val="AAAAAA"/>
          <w:sz w:val="17"/>
          <w:szCs w:val="17"/>
          <w:lang w:eastAsia="fr-FR"/>
        </w:rPr>
        <w:t xml:space="preserve"> Museum. NY.</w:t>
      </w:r>
    </w:p>
    <w:p w:rsidR="0004065E" w:rsidRDefault="0004065E"/>
    <w:p w:rsidR="0004065E" w:rsidRPr="001E5662" w:rsidRDefault="00014765">
      <w:r>
        <w:t xml:space="preserve"> </w:t>
      </w:r>
    </w:p>
    <w:p w:rsidR="005D777C" w:rsidRDefault="005D777C">
      <w:r w:rsidRPr="00014765">
        <w:t xml:space="preserve"> </w:t>
      </w:r>
      <w:r w:rsidR="00BF76A5">
        <w:t>Au pied de la croix l</w:t>
      </w:r>
      <w:bookmarkStart w:id="0" w:name="_GoBack"/>
      <w:bookmarkEnd w:id="0"/>
      <w:r w:rsidRPr="00014765">
        <w:t xml:space="preserve">e </w:t>
      </w:r>
      <w:r w:rsidR="00CF1741">
        <w:t>oui de Marie</w:t>
      </w:r>
      <w:r w:rsidRPr="00014765">
        <w:t xml:space="preserve"> est total, d’une fidélité vivante au Fiat initial.</w:t>
      </w:r>
    </w:p>
    <w:sectPr w:rsidR="005D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3F" w:rsidRDefault="004E713F" w:rsidP="004E713F">
      <w:pPr>
        <w:spacing w:after="0" w:line="240" w:lineRule="auto"/>
      </w:pPr>
      <w:r>
        <w:separator/>
      </w:r>
    </w:p>
  </w:endnote>
  <w:endnote w:type="continuationSeparator" w:id="0">
    <w:p w:rsidR="004E713F" w:rsidRDefault="004E713F" w:rsidP="004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3F" w:rsidRDefault="004E713F" w:rsidP="004E713F">
      <w:pPr>
        <w:spacing w:after="0" w:line="240" w:lineRule="auto"/>
      </w:pPr>
      <w:r>
        <w:separator/>
      </w:r>
    </w:p>
  </w:footnote>
  <w:footnote w:type="continuationSeparator" w:id="0">
    <w:p w:rsidR="004E713F" w:rsidRDefault="004E713F" w:rsidP="004E713F">
      <w:pPr>
        <w:spacing w:after="0" w:line="240" w:lineRule="auto"/>
      </w:pPr>
      <w:r>
        <w:continuationSeparator/>
      </w:r>
    </w:p>
  </w:footnote>
  <w:footnote w:id="1">
    <w:p w:rsidR="004E713F" w:rsidRDefault="004E713F" w:rsidP="004E713F"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S’agit-il du </w:t>
      </w:r>
      <w:hyperlink r:id="rId1" w:tooltip="Rit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rite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2" w:tooltip="Religion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religieux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3" w:tooltip="Judaïsm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juif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de </w:t>
      </w:r>
      <w:hyperlink r:id="rId4" w:tooltip="Rachat du premier-né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rachat du premier-né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selon lequel les garçons premiers-nés devaient être « rachetés », à l'âge d'un mois, par un sacrifice animal (</w:t>
      </w:r>
      <w:hyperlink r:id="rId5" w:tooltip="Livre des Nombres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Nb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18, 15) car ils étaient considérés comme appartenant à </w:t>
      </w:r>
      <w:hyperlink r:id="rId6" w:tooltip="Dieu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Dieu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7" w:tooltip="Livre de l'Exod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Ex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13:2-12). Cependant, cette interprétation semble erronée, le sacrifice offert (deux colombes) étant celui de la </w:t>
      </w:r>
      <w:hyperlink r:id="rId8" w:tooltip="Purification de Mari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purification de Marie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(Lévitique 12, 1-8</w:t>
      </w:r>
      <w:hyperlink r:id="rId9" w:anchor="cite_note-4" w:history="1">
        <w:r>
          <w:rPr>
            <w:rStyle w:val="Lienhypertexte"/>
            <w:rFonts w:ascii="Arial" w:hAnsi="Arial" w:cs="Arial"/>
            <w:color w:val="0645AD"/>
            <w:sz w:val="14"/>
            <w:szCs w:val="14"/>
            <w:vertAlign w:val="superscript"/>
          </w:rPr>
          <w:t>4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). Purification était le nom de la fête du </w:t>
      </w:r>
      <w:hyperlink r:id="rId10" w:tooltip="2 février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2 février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dans l'Église latine jusqu'au concile Vatican II.</w:t>
      </w:r>
    </w:p>
    <w:p w:rsidR="004E713F" w:rsidRDefault="004E713F">
      <w:pPr>
        <w:pStyle w:val="Notedebasdepage"/>
      </w:pPr>
    </w:p>
  </w:footnote>
  <w:footnote w:id="2">
    <w:p w:rsidR="005D777C" w:rsidRDefault="005D777C">
      <w:pPr>
        <w:pStyle w:val="Notedebasdepage"/>
      </w:pPr>
      <w:r>
        <w:rPr>
          <w:rStyle w:val="Appelnotedebasdep"/>
        </w:rPr>
        <w:footnoteRef/>
      </w:r>
      <w:r>
        <w:t xml:space="preserve"> Jésus signifie le sauveur.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A"/>
    <w:rsid w:val="00014765"/>
    <w:rsid w:val="0004065E"/>
    <w:rsid w:val="001A4D90"/>
    <w:rsid w:val="001E5662"/>
    <w:rsid w:val="002C2826"/>
    <w:rsid w:val="003C3F85"/>
    <w:rsid w:val="004E713F"/>
    <w:rsid w:val="005D777C"/>
    <w:rsid w:val="006341D2"/>
    <w:rsid w:val="007260C1"/>
    <w:rsid w:val="00801AC3"/>
    <w:rsid w:val="00803E96"/>
    <w:rsid w:val="008C0E64"/>
    <w:rsid w:val="009D13FA"/>
    <w:rsid w:val="00B3564A"/>
    <w:rsid w:val="00BF76A5"/>
    <w:rsid w:val="00CF1741"/>
    <w:rsid w:val="00D01D6E"/>
    <w:rsid w:val="00F748FF"/>
    <w:rsid w:val="00FE696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92DA"/>
  <w15:chartTrackingRefBased/>
  <w15:docId w15:val="{C05C3FFE-F33E-4450-A181-8A1B890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1A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gospelreading-span">
    <w:name w:val="gospelreading-span"/>
    <w:basedOn w:val="Policepardfaut"/>
    <w:rsid w:val="00801AC3"/>
  </w:style>
  <w:style w:type="character" w:customStyle="1" w:styleId="gospelreading-reference">
    <w:name w:val="gospelreading-reference"/>
    <w:basedOn w:val="Policepardfaut"/>
    <w:rsid w:val="00801AC3"/>
  </w:style>
  <w:style w:type="character" w:customStyle="1" w:styleId="versecontent">
    <w:name w:val="verse__content"/>
    <w:basedOn w:val="Policepardfaut"/>
    <w:rsid w:val="00801AC3"/>
  </w:style>
  <w:style w:type="character" w:styleId="Lienhypertexte">
    <w:name w:val="Hyperlink"/>
    <w:basedOn w:val="Policepardfaut"/>
    <w:uiPriority w:val="99"/>
    <w:semiHidden/>
    <w:unhideWhenUsed/>
    <w:rsid w:val="00B3564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1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1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13F"/>
    <w:rPr>
      <w:vertAlign w:val="superscript"/>
    </w:rPr>
  </w:style>
  <w:style w:type="character" w:customStyle="1" w:styleId="textnote">
    <w:name w:val="textnote"/>
    <w:basedOn w:val="Policepardfaut"/>
    <w:rsid w:val="005D777C"/>
  </w:style>
  <w:style w:type="paragraph" w:customStyle="1" w:styleId="wp-caption-text">
    <w:name w:val="wp-caption-text"/>
    <w:basedOn w:val="Normal"/>
    <w:rsid w:val="0001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6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KfPUcQz6kfI/Tbg32aTuLZI/AAAAAAAAIR8/VqGwv0mYeiw/s1600/delacroix-crucifixion-vannes2.jpg" TargetMode="External"/><Relationship Id="rId13" Type="http://schemas.openxmlformats.org/officeDocument/2006/relationships/hyperlink" Target="https://fr.wikipedia.org/wiki/Mus%C3%A9es_du_Vatic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ineraireiconographique.files.wordpress.com/2012/02/van-der-weyden-chrisst-apparac3aet-c3a0-la-vierge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urification_de_Marie" TargetMode="External"/><Relationship Id="rId3" Type="http://schemas.openxmlformats.org/officeDocument/2006/relationships/hyperlink" Target="https://fr.wikipedia.org/wiki/Juda%C3%AFsme" TargetMode="External"/><Relationship Id="rId7" Type="http://schemas.openxmlformats.org/officeDocument/2006/relationships/hyperlink" Target="https://fr.wikipedia.org/wiki/Livre_de_l%27Exode" TargetMode="External"/><Relationship Id="rId2" Type="http://schemas.openxmlformats.org/officeDocument/2006/relationships/hyperlink" Target="https://fr.wikipedia.org/wiki/Religion" TargetMode="External"/><Relationship Id="rId1" Type="http://schemas.openxmlformats.org/officeDocument/2006/relationships/hyperlink" Target="https://fr.wikipedia.org/wiki/Rite" TargetMode="External"/><Relationship Id="rId6" Type="http://schemas.openxmlformats.org/officeDocument/2006/relationships/hyperlink" Target="https://fr.wikipedia.org/wiki/Dieu" TargetMode="External"/><Relationship Id="rId5" Type="http://schemas.openxmlformats.org/officeDocument/2006/relationships/hyperlink" Target="https://fr.wikipedia.org/wiki/Livre_des_Nombres" TargetMode="External"/><Relationship Id="rId10" Type="http://schemas.openxmlformats.org/officeDocument/2006/relationships/hyperlink" Target="https://fr.wikipedia.org/wiki/2_f%C3%A9vrier" TargetMode="External"/><Relationship Id="rId4" Type="http://schemas.openxmlformats.org/officeDocument/2006/relationships/hyperlink" Target="https://fr.wikipedia.org/wiki/Rachat_du_premier-n%C3%A9" TargetMode="External"/><Relationship Id="rId9" Type="http://schemas.openxmlformats.org/officeDocument/2006/relationships/hyperlink" Target="https://fr.wikipedia.org/wiki/Pr%C3%A9sentation_de_J%C3%A9sus_au_Tem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2749-1E1E-498B-8D1A-A4F4EB8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Bouchacourt Marc</dc:creator>
  <cp:keywords/>
  <dc:description/>
  <cp:lastModifiedBy>Bouchacourt Marc</cp:lastModifiedBy>
  <cp:revision>2</cp:revision>
  <dcterms:created xsi:type="dcterms:W3CDTF">2020-04-09T07:19:00Z</dcterms:created>
  <dcterms:modified xsi:type="dcterms:W3CDTF">2020-04-09T07:19:00Z</dcterms:modified>
</cp:coreProperties>
</file>